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74" w:rsidRDefault="00FA1CF1" w:rsidP="00324207">
      <w:pPr>
        <w:rPr>
          <w:i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326</wp:posOffset>
            </wp:positionV>
            <wp:extent cx="699770" cy="796290"/>
            <wp:effectExtent l="0" t="0" r="5080" b="3810"/>
            <wp:wrapTight wrapText="bothSides" distL="114300" distR="114300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874" w:rsidRDefault="00A20874" w:rsidP="00324207">
      <w:pPr>
        <w:ind w:right="-55"/>
        <w:rPr>
          <w:b/>
        </w:rPr>
      </w:pPr>
    </w:p>
    <w:p w:rsidR="00A20874" w:rsidRDefault="00A20874">
      <w:pPr>
        <w:ind w:right="-55"/>
        <w:jc w:val="center"/>
        <w:rPr>
          <w:b/>
        </w:rPr>
      </w:pPr>
    </w:p>
    <w:p w:rsidR="00A20874" w:rsidRDefault="00A20874">
      <w:pPr>
        <w:ind w:right="-55"/>
        <w:jc w:val="center"/>
        <w:rPr>
          <w:b/>
        </w:rPr>
      </w:pPr>
    </w:p>
    <w:p w:rsidR="00A20874" w:rsidRDefault="00A20874">
      <w:pPr>
        <w:ind w:right="-55"/>
        <w:jc w:val="center"/>
        <w:rPr>
          <w:b/>
        </w:rPr>
      </w:pPr>
    </w:p>
    <w:p w:rsidR="00A20874" w:rsidRDefault="00FA1CF1" w:rsidP="00584B75">
      <w:pPr>
        <w:ind w:right="-55"/>
        <w:rPr>
          <w:b/>
        </w:rPr>
      </w:pPr>
      <w:r>
        <w:rPr>
          <w:b/>
        </w:rPr>
        <w:t xml:space="preserve">СОВЕТ ДЕПУТАТОВ </w:t>
      </w:r>
      <w:r w:rsidR="00584B75" w:rsidRPr="00584B75">
        <w:rPr>
          <w:b/>
          <w:color w:val="auto"/>
        </w:rPr>
        <w:t>СТАБЕНСКОГО</w:t>
      </w:r>
      <w:r>
        <w:rPr>
          <w:b/>
        </w:rPr>
        <w:t xml:space="preserve"> СЕЛЬСКОГО ПОСЕЛЕНИЯ</w:t>
      </w:r>
    </w:p>
    <w:p w:rsidR="00A20874" w:rsidRDefault="00FA1CF1">
      <w:pPr>
        <w:ind w:right="-55"/>
        <w:jc w:val="center"/>
        <w:rPr>
          <w:b/>
        </w:rPr>
      </w:pPr>
      <w:r>
        <w:rPr>
          <w:b/>
        </w:rPr>
        <w:t xml:space="preserve"> СМОЛЕНСКОГО РАЙОНА СМОЛЕНСКОЙ ОБЛАСТИ</w:t>
      </w:r>
    </w:p>
    <w:p w:rsidR="00A20874" w:rsidRDefault="00A20874">
      <w:pPr>
        <w:pStyle w:val="af2"/>
        <w:jc w:val="center"/>
        <w:rPr>
          <w:b/>
          <w:sz w:val="28"/>
        </w:rPr>
      </w:pPr>
    </w:p>
    <w:p w:rsidR="00A20874" w:rsidRDefault="00FA1CF1">
      <w:pPr>
        <w:pStyle w:val="af2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</w:pPr>
    </w:p>
    <w:p w:rsidR="00A20874" w:rsidRDefault="00FA1CF1" w:rsidP="00324207">
      <w:pPr>
        <w:widowControl w:val="0"/>
        <w:tabs>
          <w:tab w:val="left" w:leader="underscore" w:pos="1157"/>
          <w:tab w:val="left" w:leader="underscore" w:pos="2573"/>
        </w:tabs>
        <w:ind w:right="140"/>
      </w:pPr>
      <w:r>
        <w:t xml:space="preserve">от </w:t>
      </w:r>
      <w:r w:rsidR="00324207">
        <w:t>27</w:t>
      </w:r>
      <w:r>
        <w:t xml:space="preserve"> мая </w:t>
      </w:r>
      <w:r w:rsidR="00584B75">
        <w:t>2024 года</w:t>
      </w:r>
      <w:r>
        <w:t xml:space="preserve">               </w:t>
      </w:r>
      <w:r w:rsidR="00324207">
        <w:t xml:space="preserve">                                                                          </w:t>
      </w:r>
      <w:bookmarkStart w:id="0" w:name="_GoBack"/>
      <w:bookmarkEnd w:id="0"/>
      <w:r>
        <w:t xml:space="preserve">№ </w:t>
      </w:r>
      <w:r w:rsidR="00324207">
        <w:t>12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</w:pPr>
    </w:p>
    <w:p w:rsidR="00A20874" w:rsidRDefault="00FA1CF1">
      <w:pPr>
        <w:widowControl w:val="0"/>
        <w:tabs>
          <w:tab w:val="left" w:leader="underscore" w:pos="1157"/>
          <w:tab w:val="left" w:leader="underscore" w:pos="2573"/>
        </w:tabs>
        <w:ind w:right="5668"/>
        <w:jc w:val="both"/>
      </w:pPr>
      <w:r>
        <w:t xml:space="preserve">О рассмотрении инициативы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584B75">
        <w:t>– муниципальное</w:t>
      </w:r>
      <w:r>
        <w:t xml:space="preserve"> образование «Смоленский муниципальный округ» Смоленской области с административным центром в городе Смоленске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ind w:right="6605"/>
        <w:jc w:val="both"/>
      </w:pP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ind w:right="6605"/>
        <w:jc w:val="both"/>
      </w:pPr>
    </w:p>
    <w:p w:rsidR="00A20874" w:rsidRDefault="00FA1CF1">
      <w:pPr>
        <w:widowControl w:val="0"/>
        <w:tabs>
          <w:tab w:val="left" w:leader="underscore" w:pos="1157"/>
          <w:tab w:val="left" w:leader="underscore" w:pos="2573"/>
        </w:tabs>
        <w:ind w:firstLine="720"/>
      </w:pPr>
      <w:r>
        <w:t xml:space="preserve">Рассмотрев решение Смоленской районной Думы от 6 мая 2024 </w:t>
      </w:r>
      <w:r w:rsidR="00584B75">
        <w:t>года №</w:t>
      </w:r>
      <w:r>
        <w:t xml:space="preserve"> 36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20874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874" w:rsidRDefault="00FA1CF1">
            <w:pPr>
              <w:widowControl w:val="0"/>
              <w:tabs>
                <w:tab w:val="left" w:leader="underscore" w:pos="1157"/>
                <w:tab w:val="left" w:leader="underscore" w:pos="2573"/>
              </w:tabs>
              <w:jc w:val="both"/>
            </w:pPr>
            <w:r>
              <w:t xml:space="preserve">«Об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Смоленске» Совет депутатов </w:t>
            </w:r>
            <w:r w:rsidR="00584B75" w:rsidRPr="00584B75">
              <w:rPr>
                <w:color w:val="auto"/>
              </w:rPr>
              <w:t>Стабенского</w:t>
            </w:r>
            <w:r w:rsidR="00584B75">
              <w:rPr>
                <w:color w:val="7030A0"/>
              </w:rPr>
              <w:t xml:space="preserve"> </w:t>
            </w:r>
            <w:r>
              <w:t>сельского поселения Смоленского района Смоленской области</w:t>
            </w:r>
          </w:p>
          <w:p w:rsidR="00A20874" w:rsidRDefault="00A20874">
            <w:pPr>
              <w:ind w:firstLine="720"/>
              <w:jc w:val="both"/>
              <w:rPr>
                <w:b/>
              </w:rPr>
            </w:pPr>
          </w:p>
          <w:p w:rsidR="00A20874" w:rsidRDefault="00FA1CF1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РЕШИЛ:</w:t>
            </w:r>
          </w:p>
          <w:p w:rsidR="00A20874" w:rsidRDefault="00A20874">
            <w:pPr>
              <w:ind w:right="-5069"/>
              <w:jc w:val="both"/>
            </w:pPr>
          </w:p>
        </w:tc>
      </w:tr>
    </w:tbl>
    <w:p w:rsidR="00A20874" w:rsidRDefault="00FA1CF1">
      <w:pPr>
        <w:ind w:firstLine="720"/>
        <w:jc w:val="both"/>
      </w:pPr>
      <w:r>
        <w:t xml:space="preserve">1. Поддержать инициативу Смоленской районной Думы о преобразовании муниципальных образований, входящих в состав муниципального образования «Смоленский район» Смоленской области: </w:t>
      </w:r>
    </w:p>
    <w:p w:rsidR="00A20874" w:rsidRDefault="00FA1CF1">
      <w:pPr>
        <w:jc w:val="both"/>
        <w:rPr>
          <w:sz w:val="20"/>
        </w:rPr>
      </w:pPr>
      <w:proofErr w:type="spellStart"/>
      <w:r>
        <w:lastRenderedPageBreak/>
        <w:t>Волоковское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Вязгинское</w:t>
      </w:r>
      <w:proofErr w:type="spellEnd"/>
      <w:r>
        <w:t xml:space="preserve"> сельское поселение Смоленского района Смоленской области,  </w:t>
      </w:r>
      <w:proofErr w:type="spellStart"/>
      <w:r>
        <w:t>Гнездовское</w:t>
      </w:r>
      <w:proofErr w:type="spellEnd"/>
      <w:r>
        <w:t xml:space="preserve"> сельское поселение Смоленского района Смоленской области,  </w:t>
      </w:r>
      <w:proofErr w:type="spellStart"/>
      <w:r>
        <w:t>Дивасовское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Касплянское</w:t>
      </w:r>
      <w:proofErr w:type="spellEnd"/>
      <w:r>
        <w:t xml:space="preserve"> сельское поселение Смоленского района Смоленской области,  Катынское сельское поселение Смоленского района Смоленской области,  </w:t>
      </w:r>
      <w:proofErr w:type="spellStart"/>
      <w:r>
        <w:t>Козинское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Корохоткинское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Кощинское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Лоинское</w:t>
      </w:r>
      <w:proofErr w:type="spellEnd"/>
      <w:r>
        <w:t xml:space="preserve"> сельское поселение Смоленского района Смоленской области,  </w:t>
      </w:r>
      <w:proofErr w:type="spellStart"/>
      <w:r>
        <w:t>Михновское</w:t>
      </w:r>
      <w:proofErr w:type="spellEnd"/>
      <w: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>
        <w:t>Пригорское</w:t>
      </w:r>
      <w:proofErr w:type="spellEnd"/>
      <w:r>
        <w:t xml:space="preserve"> сельское поселение Смоленского района Смоленской области,  </w:t>
      </w:r>
      <w:proofErr w:type="spellStart"/>
      <w:r>
        <w:t>Сметанинское</w:t>
      </w:r>
      <w:proofErr w:type="spellEnd"/>
      <w:r>
        <w:t xml:space="preserve"> сельское поселение Смоленского района Смоленской области, Стабенское сельское поселение Смоленского района Смоленской области, </w:t>
      </w:r>
      <w:proofErr w:type="spellStart"/>
      <w:r>
        <w:t>Талашкинское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Хохловское</w:t>
      </w:r>
      <w:proofErr w:type="spellEnd"/>
      <w:r>
        <w:t xml:space="preserve"> сельское поселение Смоленского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Смоленске.</w:t>
      </w:r>
    </w:p>
    <w:p w:rsidR="00A20874" w:rsidRDefault="00FA1CF1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</w:rPr>
      </w:pPr>
      <w:r>
        <w:t>2. Настоящее решение направить в Смоленскую районную Думу.</w:t>
      </w:r>
    </w:p>
    <w:p w:rsidR="00A20874" w:rsidRDefault="00FA1CF1">
      <w:pPr>
        <w:ind w:firstLine="720"/>
        <w:jc w:val="both"/>
      </w:pPr>
      <w:r>
        <w:t xml:space="preserve">3. Опубликовать настоящее решение в газете </w:t>
      </w:r>
      <w:r w:rsidRPr="00584B75">
        <w:rPr>
          <w:color w:val="auto"/>
        </w:rPr>
        <w:t>«Сельская правда Смоленский район»</w:t>
      </w:r>
      <w:r>
        <w:t xml:space="preserve"> и разместить на официальном сайте Администрации </w:t>
      </w:r>
      <w:r w:rsidR="00584B75" w:rsidRPr="00584B75">
        <w:rPr>
          <w:color w:val="auto"/>
        </w:rPr>
        <w:t>Стабенского</w:t>
      </w:r>
      <w:r>
        <w:rPr>
          <w:color w:val="7030A0"/>
        </w:rPr>
        <w:t xml:space="preserve"> </w:t>
      </w:r>
      <w:r>
        <w:t>сельского поселения Смоленского района Смоленской области в информационно-телекоммуникационной сети «Интернет».</w:t>
      </w:r>
    </w:p>
    <w:p w:rsidR="00A20874" w:rsidRDefault="00FA1CF1">
      <w:pPr>
        <w:ind w:firstLine="708"/>
        <w:jc w:val="both"/>
      </w:pPr>
      <w:r>
        <w:t xml:space="preserve">4. Настоящее решение вступает в силу </w:t>
      </w:r>
      <w:r w:rsidR="00584B75">
        <w:t>со дня</w:t>
      </w:r>
      <w:r>
        <w:t xml:space="preserve"> его опубликования.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jc w:val="both"/>
        <w:rPr>
          <w:sz w:val="20"/>
        </w:rPr>
      </w:pP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ind w:right="-55" w:firstLine="720"/>
        <w:jc w:val="both"/>
      </w:pPr>
    </w:p>
    <w:p w:rsidR="00A20874" w:rsidRDefault="00A20874"/>
    <w:p w:rsidR="00A20874" w:rsidRDefault="00FA1CF1">
      <w:pPr>
        <w:widowControl w:val="0"/>
      </w:pPr>
      <w:r>
        <w:t>Глава муниципального образования</w:t>
      </w:r>
    </w:p>
    <w:p w:rsidR="00A20874" w:rsidRDefault="00584B75">
      <w:r w:rsidRPr="00584B75">
        <w:rPr>
          <w:color w:val="auto"/>
        </w:rPr>
        <w:t>Стабенского</w:t>
      </w:r>
      <w:r>
        <w:rPr>
          <w:color w:val="548DD4"/>
        </w:rPr>
        <w:t xml:space="preserve"> </w:t>
      </w:r>
      <w:r w:rsidRPr="00584B75">
        <w:rPr>
          <w:color w:val="auto"/>
        </w:rPr>
        <w:t>сельского</w:t>
      </w:r>
      <w:r w:rsidR="00FA1CF1" w:rsidRPr="00584B75">
        <w:rPr>
          <w:color w:val="auto"/>
        </w:rPr>
        <w:t xml:space="preserve"> </w:t>
      </w:r>
      <w:r w:rsidR="00FA1CF1">
        <w:t xml:space="preserve">поселения </w:t>
      </w:r>
    </w:p>
    <w:p w:rsidR="00A20874" w:rsidRDefault="00FA1CF1">
      <w:r>
        <w:t xml:space="preserve">Смоленского района Смоленской области </w:t>
      </w:r>
      <w:r>
        <w:rPr>
          <w:b/>
        </w:rPr>
        <w:t xml:space="preserve">            </w:t>
      </w:r>
      <w:r w:rsidR="00584B75">
        <w:rPr>
          <w:b/>
        </w:rPr>
        <w:t xml:space="preserve">                             </w:t>
      </w:r>
      <w:r w:rsidR="00584B75" w:rsidRPr="00584B75">
        <w:rPr>
          <w:b/>
          <w:color w:val="auto"/>
        </w:rPr>
        <w:t>Д.С.Чекрыжов</w:t>
      </w:r>
    </w:p>
    <w:p w:rsidR="00A20874" w:rsidRDefault="00A20874">
      <w:pPr>
        <w:ind w:firstLine="720"/>
      </w:pPr>
    </w:p>
    <w:p w:rsidR="00A20874" w:rsidRDefault="00A20874">
      <w:pPr>
        <w:ind w:firstLine="720"/>
      </w:pPr>
    </w:p>
    <w:sectPr w:rsidR="00A20874" w:rsidSect="00324207">
      <w:headerReference w:type="default" r:id="rId7"/>
      <w:headerReference w:type="first" r:id="rId8"/>
      <w:pgSz w:w="11906" w:h="16838"/>
      <w:pgMar w:top="0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C5" w:rsidRDefault="00C443C5">
      <w:r>
        <w:separator/>
      </w:r>
    </w:p>
  </w:endnote>
  <w:endnote w:type="continuationSeparator" w:id="0">
    <w:p w:rsidR="00C443C5" w:rsidRDefault="00C4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C5" w:rsidRDefault="00C443C5">
      <w:r>
        <w:separator/>
      </w:r>
    </w:p>
  </w:footnote>
  <w:footnote w:type="continuationSeparator" w:id="0">
    <w:p w:rsidR="00C443C5" w:rsidRDefault="00C4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74" w:rsidRDefault="00FA1CF1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324207">
      <w:rPr>
        <w:noProof/>
      </w:rPr>
      <w:t>2</w:t>
    </w:r>
    <w:r>
      <w:fldChar w:fldCharType="end"/>
    </w:r>
  </w:p>
  <w:p w:rsidR="00A20874" w:rsidRDefault="00A208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07" w:rsidRDefault="00324207">
    <w:pPr>
      <w:jc w:val="right"/>
    </w:pPr>
  </w:p>
  <w:p w:rsidR="00A20874" w:rsidRDefault="00FA1CF1">
    <w:pPr>
      <w:jc w:val="right"/>
    </w:pPr>
    <w:r>
      <w:t xml:space="preserve"> </w:t>
    </w:r>
  </w:p>
  <w:p w:rsidR="00A20874" w:rsidRDefault="00A208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74"/>
    <w:rsid w:val="00324207"/>
    <w:rsid w:val="00584B75"/>
    <w:rsid w:val="00A20874"/>
    <w:rsid w:val="00C443C5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C8C8-C611-4A2F-B187-E778D84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  <w:rPr>
      <w:sz w:val="24"/>
    </w:rPr>
  </w:style>
  <w:style w:type="character" w:customStyle="1" w:styleId="consnormal0">
    <w:name w:val="consnormal"/>
    <w:basedOn w:val="1"/>
    <w:link w:val="consnormal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customStyle="1" w:styleId="a5">
    <w:name w:val="Содержимое таблицы"/>
    <w:basedOn w:val="a"/>
    <w:link w:val="a6"/>
    <w:pPr>
      <w:widowControl w:val="0"/>
    </w:pPr>
    <w:rPr>
      <w:sz w:val="24"/>
    </w:rPr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ae">
    <w:name w:val="Знак 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 Знак"/>
    <w:basedOn w:val="1"/>
    <w:link w:val="ae"/>
    <w:rPr>
      <w:rFonts w:ascii="Verdana" w:hAnsi="Verdana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 Spacing"/>
    <w:link w:val="af3"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2024-05-27T12:19:00Z</cp:lastPrinted>
  <dcterms:created xsi:type="dcterms:W3CDTF">2024-05-27T12:20:00Z</dcterms:created>
  <dcterms:modified xsi:type="dcterms:W3CDTF">2024-05-27T12:20:00Z</dcterms:modified>
</cp:coreProperties>
</file>